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E5" w:rsidRPr="00F222E5" w:rsidRDefault="00F222E5" w:rsidP="00F222E5">
      <w:pPr>
        <w:spacing w:after="0" w:line="615" w:lineRule="atLeast"/>
        <w:outlineLvl w:val="0"/>
        <w:rPr>
          <w:rFonts w:ascii="Times New Roman" w:eastAsia="Times New Roman" w:hAnsi="Times New Roman" w:cs="Times New Roman"/>
          <w:b/>
          <w:bCs/>
          <w:color w:val="333333"/>
          <w:kern w:val="36"/>
          <w:lang w:eastAsia="ru-RU"/>
        </w:rPr>
      </w:pPr>
      <w:r w:rsidRPr="00F222E5">
        <w:rPr>
          <w:rFonts w:ascii="Times New Roman" w:eastAsia="Times New Roman" w:hAnsi="Times New Roman" w:cs="Times New Roman"/>
          <w:b/>
          <w:bCs/>
          <w:color w:val="333333"/>
          <w:kern w:val="36"/>
          <w:lang w:eastAsia="ru-RU"/>
        </w:rPr>
        <w:t>Федеральный государственный образовательный стандарт дошкольного образования</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lang w:eastAsia="ru-RU"/>
        </w:rPr>
        <w:t>Федеральный государственный стандарт дошкольного образования был разработан 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В соответствии с федеральным государственным образовательным стандартом дошкольного образования разрабатываются примерные образовательные программы дошкольного образования.</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lang w:eastAsia="ru-RU"/>
        </w:rPr>
        <w:t>Образовательные программы дошкольного образования направлены на разностороннее развитие детей дошкольного возраста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F222E5" w:rsidRPr="00F222E5" w:rsidRDefault="00F222E5" w:rsidP="00F222E5">
      <w:pPr>
        <w:spacing w:after="0" w:line="360" w:lineRule="atLeast"/>
        <w:rPr>
          <w:rFonts w:ascii="Times New Roman" w:eastAsia="Times New Roman" w:hAnsi="Times New Roman" w:cs="Times New Roman"/>
          <w:i/>
          <w:iCs/>
          <w:color w:val="212121"/>
          <w:lang w:eastAsia="ru-RU"/>
        </w:rPr>
      </w:pPr>
      <w:r w:rsidRPr="00F222E5">
        <w:rPr>
          <w:rFonts w:ascii="Times New Roman" w:eastAsia="Times New Roman" w:hAnsi="Times New Roman" w:cs="Times New Roman"/>
          <w:i/>
          <w:iCs/>
          <w:color w:val="212121"/>
          <w:lang w:eastAsia="ru-RU"/>
        </w:rPr>
        <w:t>Федеральный государственный образовательный стандарт включает в себя требования к:</w:t>
      </w:r>
    </w:p>
    <w:p w:rsidR="00F222E5" w:rsidRPr="00F222E5" w:rsidRDefault="00F222E5" w:rsidP="00F222E5">
      <w:pPr>
        <w:spacing w:after="0" w:line="360" w:lineRule="atLeast"/>
        <w:rPr>
          <w:rFonts w:ascii="Times New Roman" w:eastAsia="Times New Roman" w:hAnsi="Times New Roman" w:cs="Times New Roman"/>
          <w:i/>
          <w:iCs/>
          <w:color w:val="212121"/>
          <w:lang w:eastAsia="ru-RU"/>
        </w:rPr>
      </w:pPr>
      <w:r w:rsidRPr="00F222E5">
        <w:rPr>
          <w:rFonts w:ascii="Times New Roman" w:eastAsia="Times New Roman" w:hAnsi="Times New Roman" w:cs="Times New Roman"/>
          <w:i/>
          <w:iCs/>
          <w:color w:val="212121"/>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22E5" w:rsidRPr="00F222E5" w:rsidRDefault="00F222E5" w:rsidP="00F222E5">
      <w:pPr>
        <w:spacing w:after="0" w:line="360" w:lineRule="atLeast"/>
        <w:rPr>
          <w:rFonts w:ascii="Times New Roman" w:eastAsia="Times New Roman" w:hAnsi="Times New Roman" w:cs="Times New Roman"/>
          <w:i/>
          <w:iCs/>
          <w:color w:val="212121"/>
          <w:lang w:eastAsia="ru-RU"/>
        </w:rPr>
      </w:pPr>
      <w:r w:rsidRPr="00F222E5">
        <w:rPr>
          <w:rFonts w:ascii="Times New Roman" w:eastAsia="Times New Roman" w:hAnsi="Times New Roman" w:cs="Times New Roman"/>
          <w:i/>
          <w:iCs/>
          <w:color w:val="212121"/>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F222E5" w:rsidRPr="00F222E5" w:rsidRDefault="00F222E5" w:rsidP="00F222E5">
      <w:pPr>
        <w:spacing w:after="0" w:line="360" w:lineRule="atLeast"/>
        <w:rPr>
          <w:rFonts w:ascii="Times New Roman" w:eastAsia="Times New Roman" w:hAnsi="Times New Roman" w:cs="Times New Roman"/>
          <w:i/>
          <w:iCs/>
          <w:color w:val="212121"/>
          <w:lang w:eastAsia="ru-RU"/>
        </w:rPr>
      </w:pPr>
      <w:r w:rsidRPr="00F222E5">
        <w:rPr>
          <w:rFonts w:ascii="Times New Roman" w:eastAsia="Times New Roman" w:hAnsi="Times New Roman" w:cs="Times New Roman"/>
          <w:i/>
          <w:iCs/>
          <w:color w:val="212121"/>
          <w:lang w:eastAsia="ru-RU"/>
        </w:rPr>
        <w:t>3) результатам освоения основных образовательных программ.</w:t>
      </w:r>
    </w:p>
    <w:p w:rsidR="00F222E5" w:rsidRPr="00F222E5" w:rsidRDefault="00F222E5" w:rsidP="00F222E5">
      <w:pPr>
        <w:spacing w:after="150" w:line="360" w:lineRule="atLeast"/>
        <w:rPr>
          <w:rFonts w:ascii="Times New Roman" w:eastAsia="Times New Roman" w:hAnsi="Times New Roman" w:cs="Times New Roman"/>
          <w:i/>
          <w:iCs/>
          <w:color w:val="212121"/>
          <w:lang w:eastAsia="ru-RU"/>
        </w:rPr>
      </w:pPr>
      <w:r w:rsidRPr="00F222E5">
        <w:rPr>
          <w:rFonts w:ascii="Times New Roman" w:eastAsia="Times New Roman" w:hAnsi="Times New Roman" w:cs="Times New Roman"/>
          <w:i/>
          <w:iCs/>
          <w:color w:val="212121"/>
          <w:lang w:eastAsia="ru-RU"/>
        </w:rPr>
        <w:t>В отличие от других стандартов,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F222E5" w:rsidRPr="00F222E5" w:rsidRDefault="00F222E5" w:rsidP="00F222E5">
      <w:pPr>
        <w:spacing w:after="0" w:line="240" w:lineRule="auto"/>
        <w:rPr>
          <w:rFonts w:ascii="Times New Roman" w:eastAsia="Times New Roman" w:hAnsi="Times New Roman" w:cs="Times New Roman"/>
          <w:color w:val="212121"/>
          <w:lang w:eastAsia="ru-RU"/>
        </w:rPr>
      </w:pPr>
      <w:hyperlink r:id="rId5" w:history="1">
        <w:r w:rsidRPr="00F222E5">
          <w:rPr>
            <w:rFonts w:ascii="Times New Roman" w:eastAsia="Times New Roman" w:hAnsi="Times New Roman" w:cs="Times New Roman"/>
            <w:i/>
            <w:iCs/>
            <w:color w:val="6B6B6B"/>
            <w:u w:val="single"/>
            <w:lang w:eastAsia="ru-RU"/>
          </w:rPr>
          <w:t>Скачать ФГОС дошкольного образования</w:t>
        </w:r>
      </w:hyperlink>
      <w:r w:rsidRPr="00F222E5">
        <w:rPr>
          <w:rFonts w:ascii="Times New Roman" w:eastAsia="Times New Roman" w:hAnsi="Times New Roman" w:cs="Times New Roman"/>
          <w:i/>
          <w:iCs/>
          <w:color w:val="212121"/>
          <w:lang w:eastAsia="ru-RU"/>
        </w:rPr>
        <w:t> (PDF)</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pict>
          <v:rect id="_x0000_i1025" style="width:0;height:1.5pt" o:hralign="center" o:hrstd="t" o:hr="t" fillcolor="#a0a0a0" stroked="f"/>
        </w:pic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150" w:line="615" w:lineRule="atLeast"/>
        <w:outlineLvl w:val="1"/>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lang w:eastAsia="ru-RU"/>
        </w:rPr>
        <w:t>Приказ Министерства образования и науки Российской Федерации (</w:t>
      </w:r>
      <w:proofErr w:type="spellStart"/>
      <w:r w:rsidRPr="00F222E5">
        <w:rPr>
          <w:rFonts w:ascii="Times New Roman" w:eastAsia="Times New Roman" w:hAnsi="Times New Roman" w:cs="Times New Roman"/>
          <w:b/>
          <w:bCs/>
          <w:color w:val="212121"/>
          <w:lang w:eastAsia="ru-RU"/>
        </w:rPr>
        <w:t>Минобрнауки</w:t>
      </w:r>
      <w:proofErr w:type="spellEnd"/>
      <w:r w:rsidRPr="00F222E5">
        <w:rPr>
          <w:rFonts w:ascii="Times New Roman" w:eastAsia="Times New Roman" w:hAnsi="Times New Roman" w:cs="Times New Roman"/>
          <w:b/>
          <w:bCs/>
          <w:color w:val="212121"/>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b/>
          <w:bCs/>
          <w:color w:val="212121"/>
          <w:lang w:eastAsia="ru-RU"/>
        </w:rPr>
        <w:t>Зарегистрирован в Минюсте РФ 14 ноября 2013 г.</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b/>
          <w:bCs/>
          <w:color w:val="212121"/>
          <w:lang w:eastAsia="ru-RU"/>
        </w:rPr>
        <w:t>Регистрационный N 30384</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F222E5">
        <w:rPr>
          <w:rFonts w:ascii="Times New Roman" w:eastAsia="Times New Roman" w:hAnsi="Times New Roman" w:cs="Times New Roman"/>
          <w:b/>
          <w:bCs/>
          <w:color w:val="212121"/>
          <w:lang w:eastAsia="ru-RU"/>
        </w:rPr>
        <w:t>приказываю:</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Утвердить прилагаемый федеральный государственный образовательный стандарт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Признать утратившими силу приказы Министерства образования и науки Российской Федерации: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Настоящий приказ вступает в силу с 1 января 2014 года.</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b/>
          <w:bCs/>
          <w:color w:val="212121"/>
          <w:lang w:eastAsia="ru-RU"/>
        </w:rPr>
        <w:lastRenderedPageBreak/>
        <w:t>Министр</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b/>
          <w:bCs/>
          <w:color w:val="212121"/>
          <w:lang w:eastAsia="ru-RU"/>
        </w:rPr>
        <w:t>Д. Ливанов</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615" w:lineRule="atLeast"/>
        <w:outlineLvl w:val="1"/>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u w:val="single"/>
          <w:lang w:eastAsia="ru-RU"/>
        </w:rPr>
        <w:t>Приложение</w:t>
      </w:r>
    </w:p>
    <w:p w:rsidR="00F222E5" w:rsidRPr="00F222E5" w:rsidRDefault="00F222E5" w:rsidP="00F222E5">
      <w:pPr>
        <w:spacing w:after="150" w:line="615" w:lineRule="atLeast"/>
        <w:outlineLvl w:val="1"/>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lang w:eastAsia="ru-RU"/>
        </w:rPr>
        <w:t>Федеральный государственный образовательный стандарт дошкольного образования</w:t>
      </w:r>
    </w:p>
    <w:p w:rsidR="00F222E5" w:rsidRPr="00F222E5" w:rsidRDefault="00F222E5" w:rsidP="00F222E5">
      <w:pPr>
        <w:spacing w:after="0" w:line="450" w:lineRule="atLeast"/>
        <w:outlineLvl w:val="2"/>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lang w:eastAsia="ru-RU"/>
        </w:rPr>
        <w:t>I. Общие положения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1.2. Стандарт разработан на основе Конституции Российской Федерации</w:t>
      </w:r>
      <w:r w:rsidRPr="00F222E5">
        <w:rPr>
          <w:rFonts w:ascii="Times New Roman" w:eastAsia="Times New Roman" w:hAnsi="Times New Roman" w:cs="Times New Roman"/>
          <w:color w:val="212121"/>
          <w:vertAlign w:val="superscript"/>
          <w:lang w:eastAsia="ru-RU"/>
        </w:rPr>
        <w:t>1</w:t>
      </w:r>
      <w:r w:rsidRPr="00F222E5">
        <w:rPr>
          <w:rFonts w:ascii="Times New Roman" w:eastAsia="Times New Roman" w:hAnsi="Times New Roman" w:cs="Times New Roman"/>
          <w:color w:val="212121"/>
          <w:lang w:eastAsia="ru-RU"/>
        </w:rPr>
        <w:t> и законодательства Российской Федерации и с учетом Конвенции ООН о правах ребенка</w:t>
      </w:r>
      <w:r w:rsidRPr="00F222E5">
        <w:rPr>
          <w:rFonts w:ascii="Times New Roman" w:eastAsia="Times New Roman" w:hAnsi="Times New Roman" w:cs="Times New Roman"/>
          <w:color w:val="212121"/>
          <w:vertAlign w:val="superscript"/>
          <w:lang w:eastAsia="ru-RU"/>
        </w:rPr>
        <w:t>2</w:t>
      </w:r>
      <w:r w:rsidRPr="00F222E5">
        <w:rPr>
          <w:rFonts w:ascii="Times New Roman" w:eastAsia="Times New Roman" w:hAnsi="Times New Roman" w:cs="Times New Roman"/>
          <w:color w:val="212121"/>
          <w:lang w:eastAsia="ru-RU"/>
        </w:rPr>
        <w:t>, в основе которых заложены следующие основные принципы: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1) поддержка разнообразия детства; сохранение уникальности и </w:t>
      </w:r>
      <w:proofErr w:type="spellStart"/>
      <w:r w:rsidRPr="00F222E5">
        <w:rPr>
          <w:rFonts w:ascii="Times New Roman" w:eastAsia="Times New Roman" w:hAnsi="Times New Roman" w:cs="Times New Roman"/>
          <w:color w:val="212121"/>
          <w:lang w:eastAsia="ru-RU"/>
        </w:rPr>
        <w:t>самоценности</w:t>
      </w:r>
      <w:proofErr w:type="spellEnd"/>
      <w:r w:rsidRPr="00F222E5">
        <w:rPr>
          <w:rFonts w:ascii="Times New Roman" w:eastAsia="Times New Roman" w:hAnsi="Times New Roman" w:cs="Times New Roman"/>
          <w:color w:val="212121"/>
          <w:lang w:eastAsia="ru-RU"/>
        </w:rPr>
        <w:t xml:space="preserve"> детства как важного этапа в общем развитии человека, </w:t>
      </w:r>
      <w:proofErr w:type="spellStart"/>
      <w:r w:rsidRPr="00F222E5">
        <w:rPr>
          <w:rFonts w:ascii="Times New Roman" w:eastAsia="Times New Roman" w:hAnsi="Times New Roman" w:cs="Times New Roman"/>
          <w:color w:val="212121"/>
          <w:lang w:eastAsia="ru-RU"/>
        </w:rPr>
        <w:t>самоценность</w:t>
      </w:r>
      <w:proofErr w:type="spellEnd"/>
      <w:r w:rsidRPr="00F222E5">
        <w:rPr>
          <w:rFonts w:ascii="Times New Roman" w:eastAsia="Times New Roman" w:hAnsi="Times New Roman" w:cs="Times New Roman"/>
          <w:color w:val="212121"/>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уважение личности ребенка;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1.3. В Стандарте учитываются: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возможности освоения ребенком Программы на разных этапах ее реализации.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1.4. Основные принципы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поддержка инициативы детей в различных видах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сотрудничество Организации с семьей;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6) приобщение детей к социокультурным нормам, традициям семьи, общества и государства;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7) формирование познавательных интересов и познавательных действий ребенка в различных видах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9) учет этнокультурной ситуации развития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1.5. Стандарт направлен на достижение следующих целей: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повышение социального статуса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обеспечение государством равенства возможностей для каждого ребенка в получении качественного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сохранение единства образовательного пространства Российской Федерации относительно уровня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1.6. Стандарт направлен на решение следующих задач:</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охраны и укрепления физического и психического здоровья детей, в том числе их эмоционального благополучия;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F222E5">
        <w:rPr>
          <w:rFonts w:ascii="Times New Roman" w:eastAsia="Times New Roman" w:hAnsi="Times New Roman" w:cs="Times New Roman"/>
          <w:color w:val="212121"/>
          <w:lang w:eastAsia="ru-RU"/>
        </w:rPr>
        <w:t>принятых в обществе правил</w:t>
      </w:r>
      <w:proofErr w:type="gramEnd"/>
      <w:r w:rsidRPr="00F222E5">
        <w:rPr>
          <w:rFonts w:ascii="Times New Roman" w:eastAsia="Times New Roman" w:hAnsi="Times New Roman" w:cs="Times New Roman"/>
          <w:color w:val="212121"/>
          <w:lang w:eastAsia="ru-RU"/>
        </w:rPr>
        <w:t xml:space="preserve"> и норм поведения в интересах человека, семьи, общества;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1.7. Стандарт является основой для: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разработки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разработки вариативных примерных образовательных программ дошкольного образования (далее — примерные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объективной оценки соответствия образовательной деятельности Организации требованиям Стандарта;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1.8. Стандарт включает в себя требования к:</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структуре Программы и ее объему;</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условиям реализации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результатам освоения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450" w:lineRule="atLeast"/>
        <w:outlineLvl w:val="2"/>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lang w:eastAsia="ru-RU"/>
        </w:rPr>
        <w:t>II. Требования к структуре образовательной программы дошкольного образования и ее объему</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 Программа определяет содержание и организацию образовательной деятельности на уровне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2.2. Структурные подразделения в одной Организации (далее — Группы) могут реализовывать разные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2.4. Программа направлена на:</w:t>
      </w:r>
    </w:p>
    <w:p w:rsidR="00F222E5" w:rsidRPr="00F222E5" w:rsidRDefault="00F222E5" w:rsidP="00F222E5">
      <w:pPr>
        <w:numPr>
          <w:ilvl w:val="0"/>
          <w:numId w:val="2"/>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F222E5" w:rsidRPr="00F222E5" w:rsidRDefault="00F222E5" w:rsidP="00F222E5">
      <w:pPr>
        <w:numPr>
          <w:ilvl w:val="0"/>
          <w:numId w:val="2"/>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F222E5">
        <w:rPr>
          <w:rFonts w:ascii="Times New Roman" w:eastAsia="Times New Roman" w:hAnsi="Times New Roman" w:cs="Times New Roman"/>
          <w:color w:val="212121"/>
          <w:vertAlign w:val="superscript"/>
          <w:lang w:eastAsia="ru-RU"/>
        </w:rPr>
        <w:t>3</w:t>
      </w:r>
      <w:r w:rsidRPr="00F222E5">
        <w:rPr>
          <w:rFonts w:ascii="Times New Roman" w:eastAsia="Times New Roman" w:hAnsi="Times New Roman" w:cs="Times New Roman"/>
          <w:color w:val="212121"/>
          <w:lang w:eastAsia="ru-RU"/>
        </w:rPr>
        <w:t>.</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Программа может реализовываться в течение всего времени пребывания</w:t>
      </w:r>
      <w:r w:rsidRPr="00F222E5">
        <w:rPr>
          <w:rFonts w:ascii="Times New Roman" w:eastAsia="Times New Roman" w:hAnsi="Times New Roman" w:cs="Times New Roman"/>
          <w:color w:val="212121"/>
          <w:vertAlign w:val="superscript"/>
          <w:lang w:eastAsia="ru-RU"/>
        </w:rPr>
        <w:t>4</w:t>
      </w:r>
      <w:r w:rsidRPr="00F222E5">
        <w:rPr>
          <w:rFonts w:ascii="Times New Roman" w:eastAsia="Times New Roman" w:hAnsi="Times New Roman" w:cs="Times New Roman"/>
          <w:color w:val="212121"/>
          <w:lang w:eastAsia="ru-RU"/>
        </w:rPr>
        <w:t> детей в Организации.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F222E5" w:rsidRPr="00F222E5" w:rsidRDefault="00F222E5" w:rsidP="00F222E5">
      <w:pPr>
        <w:numPr>
          <w:ilvl w:val="0"/>
          <w:numId w:val="3"/>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социально-коммуникативное развитие;</w:t>
      </w:r>
    </w:p>
    <w:p w:rsidR="00F222E5" w:rsidRPr="00F222E5" w:rsidRDefault="00F222E5" w:rsidP="00F222E5">
      <w:pPr>
        <w:numPr>
          <w:ilvl w:val="0"/>
          <w:numId w:val="3"/>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познавательное развитие; речевое развитие;</w:t>
      </w:r>
    </w:p>
    <w:p w:rsidR="00F222E5" w:rsidRPr="00F222E5" w:rsidRDefault="00F222E5" w:rsidP="00F222E5">
      <w:pPr>
        <w:numPr>
          <w:ilvl w:val="0"/>
          <w:numId w:val="3"/>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художественно-эстетическое развитие;</w:t>
      </w:r>
    </w:p>
    <w:p w:rsidR="00F222E5" w:rsidRPr="00F222E5" w:rsidRDefault="00F222E5" w:rsidP="00F222E5">
      <w:pPr>
        <w:numPr>
          <w:ilvl w:val="0"/>
          <w:numId w:val="3"/>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физическое развитие.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F222E5">
        <w:rPr>
          <w:rFonts w:ascii="Times New Roman" w:eastAsia="Times New Roman" w:hAnsi="Times New Roman" w:cs="Times New Roman"/>
          <w:color w:val="212121"/>
          <w:lang w:eastAsia="ru-RU"/>
        </w:rPr>
        <w:t>саморегуляции</w:t>
      </w:r>
      <w:proofErr w:type="spellEnd"/>
      <w:r w:rsidRPr="00F222E5">
        <w:rPr>
          <w:rFonts w:ascii="Times New Roman" w:eastAsia="Times New Roman" w:hAnsi="Times New Roman" w:cs="Times New Roman"/>
          <w:color w:val="212121"/>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w:t>
      </w:r>
      <w:r w:rsidRPr="00F222E5">
        <w:rPr>
          <w:rFonts w:ascii="Times New Roman" w:eastAsia="Times New Roman" w:hAnsi="Times New Roman" w:cs="Times New Roman"/>
          <w:color w:val="212121"/>
          <w:lang w:eastAsia="ru-RU"/>
        </w:rPr>
        <w:lastRenderedPageBreak/>
        <w:t>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222E5">
        <w:rPr>
          <w:rFonts w:ascii="Times New Roman" w:eastAsia="Times New Roman" w:hAnsi="Times New Roman" w:cs="Times New Roman"/>
          <w:color w:val="212121"/>
          <w:lang w:eastAsia="ru-RU"/>
        </w:rPr>
        <w:t>саморегуляции</w:t>
      </w:r>
      <w:proofErr w:type="spellEnd"/>
      <w:r w:rsidRPr="00F222E5">
        <w:rPr>
          <w:rFonts w:ascii="Times New Roman" w:eastAsia="Times New Roman" w:hAnsi="Times New Roman" w:cs="Times New Roman"/>
          <w:color w:val="212121"/>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2.8. Содержание Программы должно отражать следующие аспекты образовательной среды для ребенка дошкольного возраста: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предметно-пространственная развивающая образовательная среда;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характер взаимодействия со взрослыми;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характер взаимодействия с другими детьми;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система отношений ребенка к миру, к другим людям, к себе самому.</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2.11.1. Целевой раздел включает в себя пояснительную записку и планируемые результаты освоения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Пояснительная записка должна раскрывать:</w:t>
      </w:r>
    </w:p>
    <w:p w:rsidR="00F222E5" w:rsidRPr="00F222E5" w:rsidRDefault="00F222E5" w:rsidP="00F222E5">
      <w:pPr>
        <w:numPr>
          <w:ilvl w:val="0"/>
          <w:numId w:val="4"/>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цели и задачи реализации Программы;</w:t>
      </w:r>
    </w:p>
    <w:p w:rsidR="00F222E5" w:rsidRPr="00F222E5" w:rsidRDefault="00F222E5" w:rsidP="00F222E5">
      <w:pPr>
        <w:numPr>
          <w:ilvl w:val="0"/>
          <w:numId w:val="4"/>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принципы и подходы к формированию Программы;</w:t>
      </w:r>
    </w:p>
    <w:p w:rsidR="00F222E5" w:rsidRPr="00F222E5" w:rsidRDefault="00F222E5" w:rsidP="00F222E5">
      <w:pPr>
        <w:numPr>
          <w:ilvl w:val="0"/>
          <w:numId w:val="4"/>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2.11.2. Содержательный раздел представляет общее содержание Программы, обеспечивающее полноценное развитие личности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Содержательный раздел Программы должен включать:</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содержательном разделе Программы должны быть представлены: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а) особенности образовательной деятельности разных видов и культурных практик;</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б) способы и направления поддержки детской инициативы;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особенности взаимодействия педагогического коллектива с семьями воспитанников;</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г) иные характеристики содержания Программы, наиболее существенные с точки зрения авторов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F222E5" w:rsidRPr="00F222E5" w:rsidRDefault="00F222E5" w:rsidP="00F222E5">
      <w:pPr>
        <w:numPr>
          <w:ilvl w:val="0"/>
          <w:numId w:val="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специфику национальных, социокультурных и иных условий, в которых осуществляется образовательная деятельность;</w:t>
      </w:r>
    </w:p>
    <w:p w:rsidR="00F222E5" w:rsidRPr="00F222E5" w:rsidRDefault="00F222E5" w:rsidP="00F222E5">
      <w:pPr>
        <w:numPr>
          <w:ilvl w:val="0"/>
          <w:numId w:val="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F222E5" w:rsidRPr="00F222E5" w:rsidRDefault="00F222E5" w:rsidP="00F222E5">
      <w:pPr>
        <w:numPr>
          <w:ilvl w:val="0"/>
          <w:numId w:val="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сложившиеся традиции Организации или Группы.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w:t>
      </w:r>
      <w:r w:rsidRPr="00F222E5">
        <w:rPr>
          <w:rFonts w:ascii="Times New Roman" w:eastAsia="Times New Roman" w:hAnsi="Times New Roman" w:cs="Times New Roman"/>
          <w:color w:val="212121"/>
          <w:lang w:eastAsia="ru-RU"/>
        </w:rPr>
        <w:lastRenderedPageBreak/>
        <w:t xml:space="preserve">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F222E5">
        <w:rPr>
          <w:rFonts w:ascii="Times New Roman" w:eastAsia="Times New Roman" w:hAnsi="Times New Roman" w:cs="Times New Roman"/>
          <w:color w:val="212121"/>
          <w:lang w:eastAsia="ru-RU"/>
        </w:rPr>
        <w:t>индивидуальных коррекционных занятий</w:t>
      </w:r>
      <w:proofErr w:type="gramEnd"/>
      <w:r w:rsidRPr="00F222E5">
        <w:rPr>
          <w:rFonts w:ascii="Times New Roman" w:eastAsia="Times New Roman" w:hAnsi="Times New Roman" w:cs="Times New Roman"/>
          <w:color w:val="212121"/>
          <w:lang w:eastAsia="ru-RU"/>
        </w:rPr>
        <w:t xml:space="preserve"> и осуществления квалифицированной коррекции нарушений их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Коррекционная работа и/или инклюзивное образование должны быть направлены на: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краткой презентации Программы должны быть указаны: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используемые Примерные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характеристика взаимодействия педагогического коллектива с семьями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450" w:lineRule="atLeast"/>
        <w:outlineLvl w:val="2"/>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lang w:eastAsia="ru-RU"/>
        </w:rPr>
        <w:t>III. Требования к условиям реализации основной образовательной программы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гарантирует охрану и укрепление физического и психического здоровья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обеспечивает эмоциональное благополучие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способствует профессиональному развитию педагогических работников;</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4) создает условия для развивающего вариативного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обеспечивает открытость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6) создает условия для участия родителей (законных представителей) в образовательной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 Требования к психолого-педагогическим условиям реализации основной образовательной программы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3.2.1. Для успешной реализации Программы должны быть обеспечены следующие психолого-педагогические условия: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поддержка инициативы и самостоятельности детей в специфических для них видах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6) возможность выбора детьми материалов, видов активности, участников совместной деятельности и общения;</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7) защита детей от всех форм физического и психического насилия</w:t>
      </w:r>
      <w:r w:rsidRPr="00F222E5">
        <w:rPr>
          <w:rFonts w:ascii="Times New Roman" w:eastAsia="Times New Roman" w:hAnsi="Times New Roman" w:cs="Times New Roman"/>
          <w:color w:val="212121"/>
          <w:vertAlign w:val="superscript"/>
          <w:lang w:eastAsia="ru-RU"/>
        </w:rPr>
        <w:t>5</w:t>
      </w:r>
      <w:r w:rsidRPr="00F222E5">
        <w:rPr>
          <w:rFonts w:ascii="Times New Roman" w:eastAsia="Times New Roman" w:hAnsi="Times New Roman" w:cs="Times New Roman"/>
          <w:color w:val="212121"/>
          <w:lang w:eastAsia="ru-RU"/>
        </w:rPr>
        <w:t>;</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оптимизации работы с группой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Участие ребенка в психологической диагностике допускается только с согласия его родителей (законных представителей).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3.2.4. Наполняемость Группы определяется с учетом возраста детей, их состояния здоровья, специфики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обеспечение эмоционального благополучия через:</w:t>
      </w:r>
    </w:p>
    <w:p w:rsidR="00F222E5" w:rsidRPr="00F222E5" w:rsidRDefault="00F222E5" w:rsidP="00F222E5">
      <w:pPr>
        <w:numPr>
          <w:ilvl w:val="0"/>
          <w:numId w:val="6"/>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непосредственное общение с каждым ребенком;</w:t>
      </w:r>
    </w:p>
    <w:p w:rsidR="00F222E5" w:rsidRPr="00F222E5" w:rsidRDefault="00F222E5" w:rsidP="00F222E5">
      <w:pPr>
        <w:numPr>
          <w:ilvl w:val="0"/>
          <w:numId w:val="6"/>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уважительное отношение к каждому ребенку, к его чувствам и потребностям;</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поддержку индивидуальности и инициативы детей через:</w:t>
      </w:r>
    </w:p>
    <w:p w:rsidR="00F222E5" w:rsidRPr="00F222E5" w:rsidRDefault="00F222E5" w:rsidP="00F222E5">
      <w:pPr>
        <w:numPr>
          <w:ilvl w:val="0"/>
          <w:numId w:val="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создание условий для свободного выбора детьми деятельности, участников совместной деятельности;</w:t>
      </w:r>
    </w:p>
    <w:p w:rsidR="00F222E5" w:rsidRPr="00F222E5" w:rsidRDefault="00F222E5" w:rsidP="00F222E5">
      <w:pPr>
        <w:numPr>
          <w:ilvl w:val="0"/>
          <w:numId w:val="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создание условий для принятия детьми решений, выражения своих чувств и мыслей;</w:t>
      </w:r>
    </w:p>
    <w:p w:rsidR="00F222E5" w:rsidRPr="00F222E5" w:rsidRDefault="00F222E5" w:rsidP="00F222E5">
      <w:pPr>
        <w:numPr>
          <w:ilvl w:val="0"/>
          <w:numId w:val="7"/>
        </w:numPr>
        <w:spacing w:after="0" w:line="240" w:lineRule="auto"/>
        <w:ind w:left="300" w:firstLine="0"/>
        <w:rPr>
          <w:rFonts w:ascii="Times New Roman" w:eastAsia="Times New Roman" w:hAnsi="Times New Roman" w:cs="Times New Roman"/>
          <w:color w:val="212121"/>
          <w:lang w:eastAsia="ru-RU"/>
        </w:rPr>
      </w:pPr>
      <w:proofErr w:type="spellStart"/>
      <w:r w:rsidRPr="00F222E5">
        <w:rPr>
          <w:rFonts w:ascii="Times New Roman" w:eastAsia="Times New Roman" w:hAnsi="Times New Roman" w:cs="Times New Roman"/>
          <w:color w:val="212121"/>
          <w:lang w:eastAsia="ru-RU"/>
        </w:rPr>
        <w:t>недирективную</w:t>
      </w:r>
      <w:proofErr w:type="spellEnd"/>
      <w:r w:rsidRPr="00F222E5">
        <w:rPr>
          <w:rFonts w:ascii="Times New Roman" w:eastAsia="Times New Roman" w:hAnsi="Times New Roman" w:cs="Times New Roman"/>
          <w:color w:val="212121"/>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установление правил взаимодействия в разных ситуациях:</w:t>
      </w:r>
    </w:p>
    <w:p w:rsidR="00F222E5" w:rsidRPr="00F222E5" w:rsidRDefault="00F222E5" w:rsidP="00F222E5">
      <w:pPr>
        <w:numPr>
          <w:ilvl w:val="0"/>
          <w:numId w:val="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222E5" w:rsidRPr="00F222E5" w:rsidRDefault="00F222E5" w:rsidP="00F222E5">
      <w:pPr>
        <w:numPr>
          <w:ilvl w:val="0"/>
          <w:numId w:val="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развитие коммуникативных способностей детей, позволяющих разрешать конфликтные ситуации со сверстниками;</w:t>
      </w:r>
    </w:p>
    <w:p w:rsidR="00F222E5" w:rsidRPr="00F222E5" w:rsidRDefault="00F222E5" w:rsidP="00F222E5">
      <w:pPr>
        <w:numPr>
          <w:ilvl w:val="0"/>
          <w:numId w:val="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развитие умения детей работать в группе сверстников;</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222E5" w:rsidRPr="00F222E5" w:rsidRDefault="00F222E5" w:rsidP="00F222E5">
      <w:pPr>
        <w:numPr>
          <w:ilvl w:val="0"/>
          <w:numId w:val="9"/>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создание условий для овладения культурными средствами деятельности;</w:t>
      </w:r>
    </w:p>
    <w:p w:rsidR="00F222E5" w:rsidRPr="00F222E5" w:rsidRDefault="00F222E5" w:rsidP="00F222E5">
      <w:pPr>
        <w:numPr>
          <w:ilvl w:val="0"/>
          <w:numId w:val="9"/>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222E5" w:rsidRPr="00F222E5" w:rsidRDefault="00F222E5" w:rsidP="00F222E5">
      <w:pPr>
        <w:numPr>
          <w:ilvl w:val="0"/>
          <w:numId w:val="9"/>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поддержку спонтанной игры детей, ее обогащение, обеспечение игрового времени и пространства;</w:t>
      </w:r>
    </w:p>
    <w:p w:rsidR="00F222E5" w:rsidRPr="00F222E5" w:rsidRDefault="00F222E5" w:rsidP="00F222E5">
      <w:pPr>
        <w:numPr>
          <w:ilvl w:val="0"/>
          <w:numId w:val="9"/>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оценку индивидуального развития детей;</w:t>
      </w:r>
    </w:p>
    <w:p w:rsidR="00F222E5" w:rsidRPr="00F222E5" w:rsidRDefault="00F222E5" w:rsidP="00F222E5">
      <w:pPr>
        <w:numPr>
          <w:ilvl w:val="0"/>
          <w:numId w:val="9"/>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3.2.6. В целях эффективной реализации Программы должны быть созданы условия для: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3.2.8. Организация должна создавать возможности: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для взрослых по поиску, использованию материалов, обеспечивающих реализацию Программы, в том числе в информационной среде;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для обсуждения с родителями (законными представителями) детей вопросов, связанных с реализацией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3.3.Требования к развивающей предметно-пространственной среде.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3.3.3. Развивающая предметно-пространственная среда должна обеспечивать:</w:t>
      </w:r>
    </w:p>
    <w:p w:rsidR="00F222E5" w:rsidRPr="00F222E5" w:rsidRDefault="00F222E5" w:rsidP="00F222E5">
      <w:pPr>
        <w:numPr>
          <w:ilvl w:val="0"/>
          <w:numId w:val="10"/>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реализацию различных образовательных программ;</w:t>
      </w:r>
    </w:p>
    <w:p w:rsidR="00F222E5" w:rsidRPr="00F222E5" w:rsidRDefault="00F222E5" w:rsidP="00F222E5">
      <w:pPr>
        <w:numPr>
          <w:ilvl w:val="0"/>
          <w:numId w:val="10"/>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случае организации инклюзивного образования — необходимые для него условия;</w:t>
      </w:r>
    </w:p>
    <w:p w:rsidR="00F222E5" w:rsidRPr="00F222E5" w:rsidRDefault="00F222E5" w:rsidP="00F222E5">
      <w:pPr>
        <w:numPr>
          <w:ilvl w:val="0"/>
          <w:numId w:val="10"/>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Насыщенность среды должна соответствовать возрастным возможностям детей и содержанию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222E5" w:rsidRPr="00F222E5" w:rsidRDefault="00F222E5" w:rsidP="00F222E5">
      <w:pPr>
        <w:numPr>
          <w:ilvl w:val="0"/>
          <w:numId w:val="11"/>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222E5" w:rsidRPr="00F222E5" w:rsidRDefault="00F222E5" w:rsidP="00F222E5">
      <w:pPr>
        <w:numPr>
          <w:ilvl w:val="0"/>
          <w:numId w:val="11"/>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двигательную активность, в том числе развитие крупной и мелкой моторики, участие в подвижных играх и соревнованиях;</w:t>
      </w:r>
    </w:p>
    <w:p w:rsidR="00F222E5" w:rsidRPr="00F222E5" w:rsidRDefault="00F222E5" w:rsidP="00F222E5">
      <w:pPr>
        <w:numPr>
          <w:ilvl w:val="0"/>
          <w:numId w:val="11"/>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эмоциональное благополучие детей во взаимодействии с предметно-пространственным окружением;</w:t>
      </w:r>
    </w:p>
    <w:p w:rsidR="00F222E5" w:rsidRPr="00F222E5" w:rsidRDefault="00F222E5" w:rsidP="00F222E5">
      <w:pPr>
        <w:numPr>
          <w:ilvl w:val="0"/>
          <w:numId w:val="11"/>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возможность самовыражения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2) </w:t>
      </w:r>
      <w:proofErr w:type="spellStart"/>
      <w:r w:rsidRPr="00F222E5">
        <w:rPr>
          <w:rFonts w:ascii="Times New Roman" w:eastAsia="Times New Roman" w:hAnsi="Times New Roman" w:cs="Times New Roman"/>
          <w:color w:val="212121"/>
          <w:lang w:eastAsia="ru-RU"/>
        </w:rPr>
        <w:t>Трансформируемость</w:t>
      </w:r>
      <w:proofErr w:type="spellEnd"/>
      <w:r w:rsidRPr="00F222E5">
        <w:rPr>
          <w:rFonts w:ascii="Times New Roman" w:eastAsia="Times New Roman" w:hAnsi="Times New Roman" w:cs="Times New Roman"/>
          <w:color w:val="212121"/>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3) </w:t>
      </w:r>
      <w:proofErr w:type="spellStart"/>
      <w:r w:rsidRPr="00F222E5">
        <w:rPr>
          <w:rFonts w:ascii="Times New Roman" w:eastAsia="Times New Roman" w:hAnsi="Times New Roman" w:cs="Times New Roman"/>
          <w:color w:val="212121"/>
          <w:lang w:eastAsia="ru-RU"/>
        </w:rPr>
        <w:t>Полифункциональность</w:t>
      </w:r>
      <w:proofErr w:type="spellEnd"/>
      <w:r w:rsidRPr="00F222E5">
        <w:rPr>
          <w:rFonts w:ascii="Times New Roman" w:eastAsia="Times New Roman" w:hAnsi="Times New Roman" w:cs="Times New Roman"/>
          <w:color w:val="212121"/>
          <w:lang w:eastAsia="ru-RU"/>
        </w:rPr>
        <w:t xml:space="preserve"> материалов предполагает:</w:t>
      </w:r>
    </w:p>
    <w:p w:rsidR="00F222E5" w:rsidRPr="00F222E5" w:rsidRDefault="00F222E5" w:rsidP="00F222E5">
      <w:pPr>
        <w:numPr>
          <w:ilvl w:val="0"/>
          <w:numId w:val="12"/>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222E5" w:rsidRPr="00F222E5" w:rsidRDefault="00F222E5" w:rsidP="00F222E5">
      <w:pPr>
        <w:numPr>
          <w:ilvl w:val="0"/>
          <w:numId w:val="12"/>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Вариативность среды предполагает:</w:t>
      </w:r>
    </w:p>
    <w:p w:rsidR="00F222E5" w:rsidRPr="00F222E5" w:rsidRDefault="00F222E5" w:rsidP="00F222E5">
      <w:pPr>
        <w:numPr>
          <w:ilvl w:val="0"/>
          <w:numId w:val="13"/>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222E5" w:rsidRPr="00F222E5" w:rsidRDefault="00F222E5" w:rsidP="00F222E5">
      <w:pPr>
        <w:numPr>
          <w:ilvl w:val="0"/>
          <w:numId w:val="13"/>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Доступность среды предполагает:</w:t>
      </w:r>
    </w:p>
    <w:p w:rsidR="00F222E5" w:rsidRPr="00F222E5" w:rsidRDefault="00F222E5" w:rsidP="00F222E5">
      <w:pPr>
        <w:numPr>
          <w:ilvl w:val="0"/>
          <w:numId w:val="14"/>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222E5" w:rsidRPr="00F222E5" w:rsidRDefault="00F222E5" w:rsidP="00F222E5">
      <w:pPr>
        <w:numPr>
          <w:ilvl w:val="0"/>
          <w:numId w:val="14"/>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222E5" w:rsidRPr="00F222E5" w:rsidRDefault="00F222E5" w:rsidP="00F222E5">
      <w:pPr>
        <w:numPr>
          <w:ilvl w:val="0"/>
          <w:numId w:val="14"/>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исправность и сохранность материалов и оборудования.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3.4. Требования к кадровым условиям реализации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3.4.4. При организации инклюзивного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F222E5">
        <w:rPr>
          <w:rFonts w:ascii="Times New Roman" w:eastAsia="Times New Roman" w:hAnsi="Times New Roman" w:cs="Times New Roman"/>
          <w:color w:val="212121"/>
          <w:vertAlign w:val="superscript"/>
          <w:lang w:eastAsia="ru-RU"/>
        </w:rPr>
        <w:t>6</w:t>
      </w:r>
      <w:r w:rsidRPr="00F222E5">
        <w:rPr>
          <w:rFonts w:ascii="Times New Roman" w:eastAsia="Times New Roman" w:hAnsi="Times New Roman" w:cs="Times New Roman"/>
          <w:color w:val="212121"/>
          <w:lang w:eastAsia="ru-RU"/>
        </w:rPr>
        <w:t>, могут быть привлечены дополнительные педагогические работники, имеющие соответствующую квалификацию.</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3.5. Требования к материально-техническим условиям реализации основной образовательной программы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3.5.1. Требования к материально-техническим условиям реализации Программы включают:</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1) требования, определяемые в соответствии с санитарно-эпидемиологическими правилами и нормативами;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требования, определяемые в соответствии с правилами пожарной безопасности;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требования к средствам обучения и воспитания в соответствии с возрастом и индивидуальными особенностями развития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 оснащенность помещений развивающей предметно-пространственной средой;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5) требования к материально-техническому обеспечению программы (учебно-методический комплект, оборудование, оснащение (предметы).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3.6. Требования к финансовым условиям реализации основной образовательной программы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3.6.2. Финансовые условия реализации Программы должны: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1) обеспечивать возможность выполнения требований Стандарта к условиям реализации и структуре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3) отражать структуру и объем расходов, необходимых для реализации Программы, а также механизм их формирования.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F222E5">
        <w:rPr>
          <w:rFonts w:ascii="Times New Roman" w:eastAsia="Times New Roman" w:hAnsi="Times New Roman" w:cs="Times New Roman"/>
          <w:color w:val="212121"/>
          <w:lang w:eastAsia="ru-RU"/>
        </w:rPr>
        <w:t>сурдоперевод</w:t>
      </w:r>
      <w:proofErr w:type="spellEnd"/>
      <w:r w:rsidRPr="00F222E5">
        <w:rPr>
          <w:rFonts w:ascii="Times New Roman" w:eastAsia="Times New Roman" w:hAnsi="Times New Roman" w:cs="Times New Roman"/>
          <w:color w:val="212121"/>
          <w:lang w:eastAsia="ru-RU"/>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F222E5">
        <w:rPr>
          <w:rFonts w:ascii="Times New Roman" w:eastAsia="Times New Roman" w:hAnsi="Times New Roman" w:cs="Times New Roman"/>
          <w:color w:val="212121"/>
          <w:lang w:eastAsia="ru-RU"/>
        </w:rPr>
        <w:t>безбарьерную</w:t>
      </w:r>
      <w:proofErr w:type="spellEnd"/>
      <w:r w:rsidRPr="00F222E5">
        <w:rPr>
          <w:rFonts w:ascii="Times New Roman" w:eastAsia="Times New Roman" w:hAnsi="Times New Roman" w:cs="Times New Roman"/>
          <w:color w:val="212121"/>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F222E5" w:rsidRPr="00F222E5" w:rsidRDefault="00F222E5" w:rsidP="00F222E5">
      <w:pPr>
        <w:numPr>
          <w:ilvl w:val="0"/>
          <w:numId w:val="1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расходов на оплату труда работников, реализующих Программу;</w:t>
      </w:r>
    </w:p>
    <w:p w:rsidR="00F222E5" w:rsidRPr="00F222E5" w:rsidRDefault="00F222E5" w:rsidP="00F222E5">
      <w:pPr>
        <w:numPr>
          <w:ilvl w:val="0"/>
          <w:numId w:val="1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F222E5" w:rsidRPr="00F222E5" w:rsidRDefault="00F222E5" w:rsidP="00F222E5">
      <w:pPr>
        <w:numPr>
          <w:ilvl w:val="0"/>
          <w:numId w:val="1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F222E5" w:rsidRPr="00F222E5" w:rsidRDefault="00F222E5" w:rsidP="00F222E5">
      <w:pPr>
        <w:numPr>
          <w:ilvl w:val="0"/>
          <w:numId w:val="15"/>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иных расходов, связанных с реализацией и обеспечением реализации Программы.</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450" w:lineRule="atLeast"/>
        <w:outlineLvl w:val="2"/>
        <w:rPr>
          <w:rFonts w:ascii="Times New Roman" w:eastAsia="Times New Roman" w:hAnsi="Times New Roman" w:cs="Times New Roman"/>
          <w:b/>
          <w:bCs/>
          <w:color w:val="212121"/>
          <w:lang w:eastAsia="ru-RU"/>
        </w:rPr>
      </w:pPr>
      <w:r w:rsidRPr="00F222E5">
        <w:rPr>
          <w:rFonts w:ascii="Times New Roman" w:eastAsia="Times New Roman" w:hAnsi="Times New Roman" w:cs="Times New Roman"/>
          <w:b/>
          <w:bCs/>
          <w:color w:val="212121"/>
          <w:lang w:eastAsia="ru-RU"/>
        </w:rPr>
        <w:t>IV. Требования к результатам освоения основной образовательной программы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F222E5">
        <w:rPr>
          <w:rFonts w:ascii="Times New Roman" w:eastAsia="Times New Roman" w:hAnsi="Times New Roman" w:cs="Times New Roman"/>
          <w:color w:val="212121"/>
          <w:vertAlign w:val="superscript"/>
          <w:lang w:eastAsia="ru-RU"/>
        </w:rPr>
        <w:t>7</w:t>
      </w:r>
      <w:r w:rsidRPr="00F222E5">
        <w:rPr>
          <w:rFonts w:ascii="Times New Roman" w:eastAsia="Times New Roman" w:hAnsi="Times New Roman" w:cs="Times New Roman"/>
          <w:color w:val="212121"/>
          <w:lang w:eastAsia="ru-RU"/>
        </w:rPr>
        <w:t>. Освоение Программы не сопровождается проведением промежуточных аттестаций и итоговой аттестации воспитанников</w:t>
      </w:r>
      <w:r w:rsidRPr="00F222E5">
        <w:rPr>
          <w:rFonts w:ascii="Times New Roman" w:eastAsia="Times New Roman" w:hAnsi="Times New Roman" w:cs="Times New Roman"/>
          <w:color w:val="212121"/>
          <w:vertAlign w:val="superscript"/>
          <w:lang w:eastAsia="ru-RU"/>
        </w:rPr>
        <w:t>8</w:t>
      </w:r>
      <w:r w:rsidRPr="00F222E5">
        <w:rPr>
          <w:rFonts w:ascii="Times New Roman" w:eastAsia="Times New Roman" w:hAnsi="Times New Roman" w:cs="Times New Roman"/>
          <w:color w:val="212121"/>
          <w:lang w:eastAsia="ru-RU"/>
        </w:rPr>
        <w:t>.</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4.4. Настоящие требования являются ориентирами для: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б) решения задач:</w:t>
      </w:r>
    </w:p>
    <w:p w:rsidR="00F222E5" w:rsidRPr="00F222E5" w:rsidRDefault="00F222E5" w:rsidP="00F222E5">
      <w:pPr>
        <w:numPr>
          <w:ilvl w:val="0"/>
          <w:numId w:val="16"/>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формирования Программы;</w:t>
      </w:r>
    </w:p>
    <w:p w:rsidR="00F222E5" w:rsidRPr="00F222E5" w:rsidRDefault="00F222E5" w:rsidP="00F222E5">
      <w:pPr>
        <w:numPr>
          <w:ilvl w:val="0"/>
          <w:numId w:val="16"/>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анализа профессиональной деятельности;</w:t>
      </w:r>
    </w:p>
    <w:p w:rsidR="00F222E5" w:rsidRPr="00F222E5" w:rsidRDefault="00F222E5" w:rsidP="00F222E5">
      <w:pPr>
        <w:numPr>
          <w:ilvl w:val="0"/>
          <w:numId w:val="16"/>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взаимодействия с семьями;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 изучения характеристик образования детей в возрасте от 2 месяцев до 8 лет;</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4.5. Целевые ориентиры не могут служить непосредственным основанием при решении управленческих задач, включая:</w:t>
      </w:r>
    </w:p>
    <w:p w:rsidR="00F222E5" w:rsidRPr="00F222E5" w:rsidRDefault="00F222E5" w:rsidP="00F222E5">
      <w:pPr>
        <w:numPr>
          <w:ilvl w:val="0"/>
          <w:numId w:val="1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аттестацию педагогических кадров;</w:t>
      </w:r>
    </w:p>
    <w:p w:rsidR="00F222E5" w:rsidRPr="00F222E5" w:rsidRDefault="00F222E5" w:rsidP="00F222E5">
      <w:pPr>
        <w:numPr>
          <w:ilvl w:val="0"/>
          <w:numId w:val="1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оценку качества образования;</w:t>
      </w:r>
    </w:p>
    <w:p w:rsidR="00F222E5" w:rsidRPr="00F222E5" w:rsidRDefault="00F222E5" w:rsidP="00F222E5">
      <w:pPr>
        <w:numPr>
          <w:ilvl w:val="0"/>
          <w:numId w:val="1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F222E5" w:rsidRPr="00F222E5" w:rsidRDefault="00F222E5" w:rsidP="00F222E5">
      <w:pPr>
        <w:numPr>
          <w:ilvl w:val="0"/>
          <w:numId w:val="1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F222E5" w:rsidRPr="00F222E5" w:rsidRDefault="00F222E5" w:rsidP="00F222E5">
      <w:pPr>
        <w:numPr>
          <w:ilvl w:val="0"/>
          <w:numId w:val="17"/>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распределение стимулирующего фонда оплаты труда работников Организации.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Целевые ориентиры образования в младенческом и раннем возрасте:</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проявляет интерес к сверстникам; наблюдает за их действиями и подражает им;</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 ребенка развита крупная моторика, он стремится осваивать различные виды движения (бег, лазанье, перешагивание и пр.).</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Целевые ориентиры на этапе завершения дошкольного образования:</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222E5" w:rsidRPr="00F222E5" w:rsidRDefault="00F222E5" w:rsidP="00F222E5">
      <w:pPr>
        <w:numPr>
          <w:ilvl w:val="0"/>
          <w:numId w:val="18"/>
        </w:numPr>
        <w:spacing w:after="0" w:line="240" w:lineRule="auto"/>
        <w:ind w:left="300" w:firstLine="0"/>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pict>
          <v:rect id="_x0000_i1026" style="width:0;height:1.5pt" o:hralign="center" o:hrstd="t" o:hr="t" fillcolor="#a0a0a0" stroked="f"/>
        </w:pict>
      </w:r>
    </w:p>
    <w:p w:rsidR="00F222E5" w:rsidRPr="00F222E5" w:rsidRDefault="00F222E5" w:rsidP="00F222E5">
      <w:pPr>
        <w:spacing w:after="15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color w:val="212121"/>
          <w:lang w:eastAsia="ru-RU"/>
        </w:rPr>
        <w:t> </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1</w:t>
      </w:r>
      <w:r w:rsidRPr="00F222E5">
        <w:rPr>
          <w:rFonts w:ascii="Times New Roman" w:eastAsia="Times New Roman" w:hAnsi="Times New Roman" w:cs="Times New Roman"/>
          <w:i/>
          <w:iCs/>
          <w:color w:val="212121"/>
          <w:lang w:eastAsia="ru-RU"/>
        </w:rPr>
        <w:t> Российская газета, 25 декабря 1993 г.; Собрание законодательства Российской Федерации, 2009, N 1, ст. 1, ст. 2.</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2</w:t>
      </w:r>
      <w:r w:rsidRPr="00F222E5">
        <w:rPr>
          <w:rFonts w:ascii="Times New Roman" w:eastAsia="Times New Roman" w:hAnsi="Times New Roman" w:cs="Times New Roman"/>
          <w:i/>
          <w:iCs/>
          <w:color w:val="212121"/>
          <w:lang w:eastAsia="ru-RU"/>
        </w:rPr>
        <w:t> Сборник международных договоров СССР, 1993, выпуск XLVI.</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3</w:t>
      </w:r>
      <w:r w:rsidRPr="00F222E5">
        <w:rPr>
          <w:rFonts w:ascii="Times New Roman" w:eastAsia="Times New Roman" w:hAnsi="Times New Roman" w:cs="Times New Roman"/>
          <w:i/>
          <w:iCs/>
          <w:color w:val="212121"/>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4</w:t>
      </w:r>
      <w:r w:rsidRPr="00F222E5">
        <w:rPr>
          <w:rFonts w:ascii="Times New Roman" w:eastAsia="Times New Roman" w:hAnsi="Times New Roman" w:cs="Times New Roman"/>
          <w:i/>
          <w:iCs/>
          <w:color w:val="212121"/>
          <w:lang w:eastAsia="ru-RU"/>
        </w:rPr>
        <w:t xml:space="preserve"> При круглосуточном пребывании детей в Группе реализация программы осуществляется не более 14 часов с учетом </w:t>
      </w:r>
      <w:bookmarkStart w:id="0" w:name="_GoBack"/>
      <w:bookmarkEnd w:id="0"/>
      <w:r w:rsidRPr="00F222E5">
        <w:rPr>
          <w:rFonts w:ascii="Times New Roman" w:eastAsia="Times New Roman" w:hAnsi="Times New Roman" w:cs="Times New Roman"/>
          <w:i/>
          <w:iCs/>
          <w:color w:val="212121"/>
          <w:lang w:eastAsia="ru-RU"/>
        </w:rPr>
        <w:t>режима дня и возрастных категорий детей.</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5</w:t>
      </w:r>
      <w:r w:rsidRPr="00F222E5">
        <w:rPr>
          <w:rFonts w:ascii="Times New Roman" w:eastAsia="Times New Roman" w:hAnsi="Times New Roman" w:cs="Times New Roman"/>
          <w:i/>
          <w:iCs/>
          <w:color w:val="212121"/>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6</w:t>
      </w:r>
      <w:r w:rsidRPr="00F222E5">
        <w:rPr>
          <w:rFonts w:ascii="Times New Roman" w:eastAsia="Times New Roman" w:hAnsi="Times New Roman" w:cs="Times New Roman"/>
          <w:i/>
          <w:iCs/>
          <w:color w:val="212121"/>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F222E5" w:rsidRPr="00F222E5" w:rsidRDefault="00F222E5" w:rsidP="00F222E5">
      <w:pPr>
        <w:spacing w:after="0"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7</w:t>
      </w:r>
      <w:r w:rsidRPr="00F222E5">
        <w:rPr>
          <w:rFonts w:ascii="Times New Roman" w:eastAsia="Times New Roman" w:hAnsi="Times New Roman" w:cs="Times New Roman"/>
          <w:i/>
          <w:iCs/>
          <w:color w:val="212121"/>
          <w:lang w:eastAsia="ru-RU"/>
        </w:rPr>
        <w: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222E5" w:rsidRPr="00F222E5" w:rsidRDefault="00F222E5" w:rsidP="00F222E5">
      <w:pPr>
        <w:spacing w:line="240" w:lineRule="auto"/>
        <w:rPr>
          <w:rFonts w:ascii="Times New Roman" w:eastAsia="Times New Roman" w:hAnsi="Times New Roman" w:cs="Times New Roman"/>
          <w:color w:val="212121"/>
          <w:lang w:eastAsia="ru-RU"/>
        </w:rPr>
      </w:pPr>
      <w:r w:rsidRPr="00F222E5">
        <w:rPr>
          <w:rFonts w:ascii="Times New Roman" w:eastAsia="Times New Roman" w:hAnsi="Times New Roman" w:cs="Times New Roman"/>
          <w:i/>
          <w:iCs/>
          <w:color w:val="212121"/>
          <w:vertAlign w:val="superscript"/>
          <w:lang w:eastAsia="ru-RU"/>
        </w:rPr>
        <w:t>8</w:t>
      </w:r>
      <w:r w:rsidRPr="00F222E5">
        <w:rPr>
          <w:rFonts w:ascii="Times New Roman" w:eastAsia="Times New Roman" w:hAnsi="Times New Roman" w:cs="Times New Roman"/>
          <w:i/>
          <w:iCs/>
          <w:color w:val="212121"/>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227D" w:rsidRPr="00F222E5" w:rsidRDefault="00AF227D" w:rsidP="00F222E5">
      <w:pPr>
        <w:rPr>
          <w:rFonts w:ascii="Times New Roman" w:hAnsi="Times New Roman" w:cs="Times New Roman"/>
        </w:rPr>
      </w:pPr>
    </w:p>
    <w:sectPr w:rsidR="00AF227D" w:rsidRPr="00F222E5" w:rsidSect="00F222E5">
      <w:pgSz w:w="11906" w:h="16838"/>
      <w:pgMar w:top="284"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C99"/>
    <w:multiLevelType w:val="multilevel"/>
    <w:tmpl w:val="4214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B1FDC"/>
    <w:multiLevelType w:val="multilevel"/>
    <w:tmpl w:val="EB1A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FB2210"/>
    <w:multiLevelType w:val="multilevel"/>
    <w:tmpl w:val="D82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853D45"/>
    <w:multiLevelType w:val="multilevel"/>
    <w:tmpl w:val="912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C60BFD"/>
    <w:multiLevelType w:val="multilevel"/>
    <w:tmpl w:val="3DF6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28467A"/>
    <w:multiLevelType w:val="multilevel"/>
    <w:tmpl w:val="D3D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98641C"/>
    <w:multiLevelType w:val="multilevel"/>
    <w:tmpl w:val="A87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7E43CA"/>
    <w:multiLevelType w:val="multilevel"/>
    <w:tmpl w:val="B4E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4A5D8B"/>
    <w:multiLevelType w:val="multilevel"/>
    <w:tmpl w:val="EFA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5C2D78"/>
    <w:multiLevelType w:val="multilevel"/>
    <w:tmpl w:val="350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8A2111"/>
    <w:multiLevelType w:val="multilevel"/>
    <w:tmpl w:val="991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B10D66"/>
    <w:multiLevelType w:val="multilevel"/>
    <w:tmpl w:val="79A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5B63C4"/>
    <w:multiLevelType w:val="multilevel"/>
    <w:tmpl w:val="663E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E831C7B"/>
    <w:multiLevelType w:val="multilevel"/>
    <w:tmpl w:val="AA5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AD0C76"/>
    <w:multiLevelType w:val="multilevel"/>
    <w:tmpl w:val="8C0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B15032"/>
    <w:multiLevelType w:val="multilevel"/>
    <w:tmpl w:val="A31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A11662"/>
    <w:multiLevelType w:val="multilevel"/>
    <w:tmpl w:val="AC5C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F1E6434"/>
    <w:multiLevelType w:val="multilevel"/>
    <w:tmpl w:val="BC06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9"/>
  </w:num>
  <w:num w:numId="5">
    <w:abstractNumId w:val="10"/>
  </w:num>
  <w:num w:numId="6">
    <w:abstractNumId w:val="6"/>
  </w:num>
  <w:num w:numId="7">
    <w:abstractNumId w:val="7"/>
  </w:num>
  <w:num w:numId="8">
    <w:abstractNumId w:val="0"/>
  </w:num>
  <w:num w:numId="9">
    <w:abstractNumId w:val="11"/>
  </w:num>
  <w:num w:numId="10">
    <w:abstractNumId w:val="17"/>
  </w:num>
  <w:num w:numId="11">
    <w:abstractNumId w:val="15"/>
  </w:num>
  <w:num w:numId="12">
    <w:abstractNumId w:val="12"/>
  </w:num>
  <w:num w:numId="13">
    <w:abstractNumId w:val="8"/>
  </w:num>
  <w:num w:numId="14">
    <w:abstractNumId w:val="2"/>
  </w:num>
  <w:num w:numId="15">
    <w:abstractNumId w:val="13"/>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E5"/>
    <w:rsid w:val="00AF227D"/>
    <w:rsid w:val="00F222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FBC11-7893-4750-9490-14C498E2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944342">
      <w:bodyDiv w:val="1"/>
      <w:marLeft w:val="0"/>
      <w:marRight w:val="0"/>
      <w:marTop w:val="0"/>
      <w:marBottom w:val="0"/>
      <w:divBdr>
        <w:top w:val="none" w:sz="0" w:space="0" w:color="auto"/>
        <w:left w:val="none" w:sz="0" w:space="0" w:color="auto"/>
        <w:bottom w:val="none" w:sz="0" w:space="0" w:color="auto"/>
        <w:right w:val="none" w:sz="0" w:space="0" w:color="auto"/>
      </w:divBdr>
      <w:divsChild>
        <w:div w:id="90393252">
          <w:marLeft w:val="0"/>
          <w:marRight w:val="0"/>
          <w:marTop w:val="0"/>
          <w:marBottom w:val="0"/>
          <w:divBdr>
            <w:top w:val="none" w:sz="0" w:space="0" w:color="auto"/>
            <w:left w:val="none" w:sz="0" w:space="0" w:color="auto"/>
            <w:bottom w:val="none" w:sz="0" w:space="0" w:color="auto"/>
            <w:right w:val="none" w:sz="0" w:space="0" w:color="auto"/>
          </w:divBdr>
          <w:divsChild>
            <w:div w:id="1218129339">
              <w:marLeft w:val="0"/>
              <w:marRight w:val="0"/>
              <w:marTop w:val="0"/>
              <w:marBottom w:val="0"/>
              <w:divBdr>
                <w:top w:val="none" w:sz="0" w:space="0" w:color="auto"/>
                <w:left w:val="none" w:sz="0" w:space="0" w:color="auto"/>
                <w:bottom w:val="none" w:sz="0" w:space="0" w:color="auto"/>
                <w:right w:val="none" w:sz="0" w:space="0" w:color="auto"/>
              </w:divBdr>
              <w:divsChild>
                <w:div w:id="113139136">
                  <w:marLeft w:val="0"/>
                  <w:marRight w:val="0"/>
                  <w:marTop w:val="0"/>
                  <w:marBottom w:val="0"/>
                  <w:divBdr>
                    <w:top w:val="none" w:sz="0" w:space="0" w:color="auto"/>
                    <w:left w:val="none" w:sz="0" w:space="0" w:color="auto"/>
                    <w:bottom w:val="none" w:sz="0" w:space="0" w:color="auto"/>
                    <w:right w:val="none" w:sz="0" w:space="0" w:color="auto"/>
                  </w:divBdr>
                </w:div>
                <w:div w:id="808397702">
                  <w:marLeft w:val="0"/>
                  <w:marRight w:val="0"/>
                  <w:marTop w:val="0"/>
                  <w:marBottom w:val="0"/>
                  <w:divBdr>
                    <w:top w:val="none" w:sz="0" w:space="0" w:color="auto"/>
                    <w:left w:val="none" w:sz="0" w:space="0" w:color="auto"/>
                    <w:bottom w:val="none" w:sz="0" w:space="0" w:color="auto"/>
                    <w:right w:val="none" w:sz="0" w:space="0" w:color="auto"/>
                  </w:divBdr>
                  <w:divsChild>
                    <w:div w:id="6429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5317">
          <w:marLeft w:val="0"/>
          <w:marRight w:val="0"/>
          <w:marTop w:val="0"/>
          <w:marBottom w:val="0"/>
          <w:divBdr>
            <w:top w:val="none" w:sz="0" w:space="0" w:color="auto"/>
            <w:left w:val="none" w:sz="0" w:space="0" w:color="auto"/>
            <w:bottom w:val="none" w:sz="0" w:space="0" w:color="auto"/>
            <w:right w:val="none" w:sz="0" w:space="0" w:color="auto"/>
          </w:divBdr>
          <w:divsChild>
            <w:div w:id="793476550">
              <w:marLeft w:val="0"/>
              <w:marRight w:val="0"/>
              <w:marTop w:val="0"/>
              <w:marBottom w:val="0"/>
              <w:divBdr>
                <w:top w:val="none" w:sz="0" w:space="0" w:color="auto"/>
                <w:left w:val="none" w:sz="0" w:space="0" w:color="auto"/>
                <w:bottom w:val="none" w:sz="0" w:space="0" w:color="auto"/>
                <w:right w:val="none" w:sz="0" w:space="0" w:color="auto"/>
              </w:divBdr>
              <w:divsChild>
                <w:div w:id="965620173">
                  <w:marLeft w:val="0"/>
                  <w:marRight w:val="0"/>
                  <w:marTop w:val="0"/>
                  <w:marBottom w:val="0"/>
                  <w:divBdr>
                    <w:top w:val="none" w:sz="0" w:space="0" w:color="auto"/>
                    <w:left w:val="none" w:sz="0" w:space="0" w:color="auto"/>
                    <w:bottom w:val="none" w:sz="0" w:space="0" w:color="auto"/>
                    <w:right w:val="none" w:sz="0" w:space="0" w:color="auto"/>
                  </w:divBdr>
                  <w:divsChild>
                    <w:div w:id="1461457783">
                      <w:marLeft w:val="0"/>
                      <w:marRight w:val="0"/>
                      <w:marTop w:val="0"/>
                      <w:marBottom w:val="0"/>
                      <w:divBdr>
                        <w:top w:val="none" w:sz="0" w:space="0" w:color="auto"/>
                        <w:left w:val="none" w:sz="0" w:space="0" w:color="auto"/>
                        <w:bottom w:val="none" w:sz="0" w:space="0" w:color="auto"/>
                        <w:right w:val="none" w:sz="0" w:space="0" w:color="auto"/>
                      </w:divBdr>
                      <w:divsChild>
                        <w:div w:id="1348171083">
                          <w:marLeft w:val="0"/>
                          <w:marRight w:val="0"/>
                          <w:marTop w:val="0"/>
                          <w:marBottom w:val="750"/>
                          <w:divBdr>
                            <w:top w:val="none" w:sz="0" w:space="0" w:color="auto"/>
                            <w:left w:val="none" w:sz="0" w:space="0" w:color="auto"/>
                            <w:bottom w:val="none" w:sz="0" w:space="0" w:color="auto"/>
                            <w:right w:val="none" w:sz="0" w:space="0" w:color="auto"/>
                          </w:divBdr>
                          <w:divsChild>
                            <w:div w:id="468479349">
                              <w:blockQuote w:val="1"/>
                              <w:marLeft w:val="0"/>
                              <w:marRight w:val="0"/>
                              <w:marTop w:val="0"/>
                              <w:marBottom w:val="150"/>
                              <w:divBdr>
                                <w:top w:val="none" w:sz="0" w:space="0" w:color="auto"/>
                                <w:left w:val="none" w:sz="0" w:space="0" w:color="auto"/>
                                <w:bottom w:val="none" w:sz="0" w:space="0" w:color="auto"/>
                                <w:right w:val="none" w:sz="0" w:space="0" w:color="auto"/>
                              </w:divBdr>
                            </w:div>
                            <w:div w:id="10580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avobraz.ru/wp-content/uploads/2014/01/%D0%A4%D0%93%D0%9E%D0%A1_%D0%B4%D0%BE%D1%88%D0%BA%D0%BE%D0%BB%D0%BA%D0%B0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8410</Words>
  <Characters>47943</Characters>
  <Application>Microsoft Office Word</Application>
  <DocSecurity>0</DocSecurity>
  <Lines>399</Lines>
  <Paragraphs>112</Paragraphs>
  <ScaleCrop>false</ScaleCrop>
  <Company/>
  <LinksUpToDate>false</LinksUpToDate>
  <CharactersWithSpaces>56241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Meseda Meseda</dc:creator>
  <cp:keywords/>
  <dc:description/>
  <cp:lastModifiedBy>Meseda Meseda</cp:lastModifiedBy>
  <cp:revision>1</cp:revision>
  <dcterms:created xsi:type="dcterms:W3CDTF">2020-03-15T10:36:00Z</dcterms:created>
  <dcterms:modified xsi:type="dcterms:W3CDTF">2020-03-15T10:38:00Z</dcterms:modified>
</cp:coreProperties>
</file>